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деятельности в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Забайкальском управлении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Федеральной службы по экологическому, технологическому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 атомному надзору при осуществлении федерального государственного энергетического надзора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за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17"/>
        <w:contextualSpacing/>
        <w:jc w:val="center"/>
        <w:spacing w:before="0" w:line="276" w:lineRule="auto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r/>
      <w:bookmarkStart w:id="0" w:name="undefined"/>
      <w:r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r>
    </w:p>
    <w:p>
      <w:pPr>
        <w:pStyle w:val="17"/>
        <w:contextualSpacing/>
        <w:jc w:val="center"/>
        <w:spacing w:before="0" w:line="276" w:lineRule="auto"/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000000"/>
          <w:sz w:val="28"/>
          <w:szCs w:val="28"/>
          <w:lang w:eastAsia="ru-RU"/>
        </w:rPr>
        <w:t xml:space="preserve">Общие положения</w:t>
      </w:r>
      <w:bookmarkEnd w:id="0"/>
      <w:r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000000"/>
          <w:sz w:val="28"/>
          <w:szCs w:val="28"/>
          <w:lang w:eastAsia="ru-RU"/>
        </w:rPr>
      </w:r>
    </w:p>
    <w:p>
      <w:pPr>
        <w:contextualSpacing/>
        <w:spacing w:after="0" w:line="276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contextualSpacing/>
        <w:ind w:firstLine="680"/>
        <w:jc w:val="both"/>
        <w:spacing w:after="0" w:line="276" w:lineRule="auto"/>
        <w:widowControl w:val="off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осуществлении федерального государственного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энергетического надзора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 202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</w:t>
      </w:r>
      <w:r>
        <w:rPr>
          <w:rFonts w:ascii="Times New Roman" w:hAnsi="Times New Roman"/>
          <w:sz w:val="28"/>
          <w:szCs w:val="28"/>
          <w:lang w:bidi="ru-RU"/>
        </w:rPr>
        <w:t xml:space="preserve">85</w:t>
      </w:r>
      <w:r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 федеральном государственном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энергетическ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ом надзоре</w:t>
      </w:r>
      <w:r>
        <w:rPr>
          <w:rFonts w:ascii="Times New Roman" w:hAnsi="Times New Roman"/>
          <w:sz w:val="28"/>
          <w:szCs w:val="28"/>
          <w:lang w:bidi="ru-RU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 соответствии с приказом Федеральной службы по экологическому, технологическому и атомному надзору от</w:t>
      </w:r>
      <w:r>
        <w:rPr>
          <w:rFonts w:ascii="Times New Roman" w:hAnsi="Times New Roman"/>
          <w:sz w:val="28"/>
          <w:szCs w:val="28"/>
          <w:lang w:bidi="ru-RU"/>
        </w:rPr>
        <w:t xml:space="preserve"> 23</w:t>
      </w:r>
      <w:r>
        <w:rPr>
          <w:rFonts w:ascii="Times New Roman" w:hAnsi="Times New Roman"/>
          <w:sz w:val="28"/>
          <w:szCs w:val="28"/>
          <w:lang w:bidi="ru-RU"/>
        </w:rPr>
        <w:t xml:space="preserve"> августа 202</w:t>
      </w:r>
      <w:r>
        <w:rPr>
          <w:rFonts w:ascii="Times New Roman" w:hAnsi="Times New Roman"/>
          <w:sz w:val="28"/>
          <w:szCs w:val="28"/>
          <w:lang w:bidi="ru-RU"/>
        </w:rPr>
        <w:t xml:space="preserve">3</w:t>
      </w:r>
      <w:r>
        <w:rPr>
          <w:rFonts w:ascii="Times New Roman" w:hAnsi="Times New Roman"/>
          <w:sz w:val="28"/>
          <w:szCs w:val="28"/>
          <w:lang w:bidi="ru-RU"/>
        </w:rPr>
        <w:t xml:space="preserve"> г. №</w:t>
      </w:r>
      <w:r>
        <w:rPr>
          <w:rFonts w:ascii="Times New Roman" w:hAnsi="Times New Roman"/>
          <w:sz w:val="28"/>
          <w:szCs w:val="28"/>
          <w:lang w:bidi="ru-RU"/>
        </w:rPr>
        <w:t xml:space="preserve">307</w:t>
      </w:r>
      <w:r>
        <w:rPr>
          <w:rFonts w:ascii="Times New Roman" w:hAnsi="Times New Roman"/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 xml:space="preserve">в Федеральной службе по экологическому, технологическому и атомному надзору».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для решения следующих задач: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>
        <w:rPr>
          <w:rFonts w:ascii="Times New Roman" w:hAnsi="Times New Roman"/>
          <w:sz w:val="28"/>
          <w:szCs w:val="28"/>
          <w:lang w:bidi="ru-RU"/>
        </w:rPr>
        <w:t xml:space="preserve">законодательства Российской Федерации о государственном контроле (надзоре), муниципальном контроле;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подготовка предложений об актуализации обязательных требований;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pStyle w:val="17"/>
        <w:contextualSpacing/>
        <w:ind w:firstLine="709"/>
        <w:jc w:val="center"/>
        <w:spacing w:before="0" w:line="276" w:lineRule="auto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</w:p>
    <w:p>
      <w:pPr>
        <w:pStyle w:val="17"/>
        <w:contextualSpacing/>
        <w:jc w:val="center"/>
        <w:spacing w:before="0" w:line="276" w:lineRule="auto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Федеральный государственный энергетический надзор </w:t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</w:p>
    <w:p>
      <w:pPr>
        <w:contextualSpacing/>
        <w:spacing w:after="0" w:line="276" w:lineRule="auto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ind w:firstLine="720"/>
        <w:jc w:val="both"/>
        <w:spacing w:after="12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бщее количество поднадзорных Забайкальского управления Ростехнадзора организаций составляет </w:t>
      </w:r>
      <w:permStart w:displacedbyCustomXml="next" w:edGrp="everyone" w:id="undefined"/>
      <w:r>
        <w:rPr>
          <w:rFonts w:ascii="Times New Roman" w:hAnsi="Times New Roman"/>
          <w:sz w:val="28"/>
          <w:szCs w:val="28"/>
        </w:rPr>
        <w:t xml:space="preserve">1588</w:t>
      </w:r>
      <w:r>
        <w:rPr>
          <w:rFonts w:ascii="Times New Roman" w:hAnsi="Times New Roman"/>
          <w:sz w:val="28"/>
          <w:szCs w:val="28"/>
        </w:rPr>
        <w:t xml:space="preserve">_</w:t>
      </w:r>
      <w:permEnd w:displacedbyCustomXml="next" w:id=""/>
      <w:r>
        <w:rPr>
          <w:rFonts w:ascii="Times New Roman" w:hAnsi="Times New Roman"/>
          <w:sz w:val="28"/>
          <w:szCs w:val="28"/>
        </w:rPr>
        <w:t xml:space="preserve">, в том числе потребителей электроэнергии – </w:t>
      </w:r>
      <w:permStart w:displacedbyCustomXml="next" w:edGrp="everyone" w:id="undefined"/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  <w:t xml:space="preserve">1473</w:t>
      </w:r>
      <w:r>
        <w:rPr>
          <w:rFonts w:ascii="Times New Roman" w:hAnsi="Times New Roman"/>
          <w:sz w:val="28"/>
          <w:szCs w:val="28"/>
        </w:rPr>
        <w:t xml:space="preserve">_</w:t>
      </w:r>
      <w:permEnd w:displacedbyCustomXml="next" w:id=""/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19"/>
        <w:gridCol w:w="2977"/>
      </w:tblGrid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Общее число поднадзорных объектов энергетики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20078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 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Тепловых электростанций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Газотурбинных (газопоршневых) электростанций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Малых (технологических) электростанций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986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Гидроэлектростанций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Котельных всего,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в том числе: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1359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50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производственных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59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50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отопительно-производственных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50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отопительных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center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13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Электрических подстанций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ab/>
              <w:t xml:space="preserve">    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17717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92" w:hRule="exact"/>
        </w:trPr>
        <w:tc>
          <w:tcPr>
            <w:shd w:val="clear" w:color="ffffff" w:fill="ffffff"/>
            <w:tcW w:w="6819" w:type="dxa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Тепловых сетей (в двухтрубном исчислении),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4636,2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км;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28"/>
        </w:trPr>
        <w:tc>
          <w:tcPr>
            <w:shd w:val="clear" w:color="ffffff" w:fill="ffffff"/>
            <w:tcW w:w="6819" w:type="dxa"/>
            <w:textDirection w:val="lrTb"/>
            <w:noWrap/>
          </w:tcPr>
          <w:p>
            <w:pPr>
              <w:contextualSpacing/>
              <w:ind w:left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Линий электропередачи всего,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br/>
              <w:t xml:space="preserve">в том числе: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100707,1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км;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напряжением до 1 кВ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38209,8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км;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напряжением от 1 кВ до 110 кВ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53073,2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км;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ffffff" w:fill="ffffff"/>
            <w:tcW w:w="6819" w:type="dxa"/>
            <w:vAlign w:val="bottom"/>
            <w:textDirection w:val="lrTb"/>
            <w:noWrap/>
          </w:tcPr>
          <w:p>
            <w:pPr>
              <w:contextualSpacing/>
              <w:ind w:firstLine="616"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  напряжением 220 кВ и выше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  <w:tc>
          <w:tcPr>
            <w:shd w:val="clear" w:color="ffffff" w:fill="ffffff"/>
            <w:tcW w:w="2977" w:type="dxa"/>
            <w:vAlign w:val="bottom"/>
            <w:textDirection w:val="lrTb"/>
            <w:noWrap/>
          </w:tcPr>
          <w:p>
            <w:pPr>
              <w:contextualSpacing/>
              <w:spacing w:after="0" w:line="276" w:lineRule="auto"/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– </w:t>
            </w:r>
            <w:permStart w:displacedbyCustomXml="next" w:edGrp="everyone" w:id="undefined"/>
            <w:r>
              <w:rPr>
                <w:rFonts w:ascii="Times New Roman" w:hAnsi="Times New Roman"/>
                <w:sz w:val="28"/>
                <w:szCs w:val="28"/>
              </w:rPr>
              <w:t xml:space="preserve"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9424,1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</w:t>
            </w:r>
            <w:permEnd w:displacedbyCustomXml="next" w:id=""/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  <w:t xml:space="preserve"> км.</w:t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Arial Unicode MS"/>
                <w:sz w:val="28"/>
                <w:szCs w:val="28"/>
                <w:lang w:eastAsia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инспекторским составом допущено в эксплуатацию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/>
          <w:sz w:val="28"/>
          <w:szCs w:val="28"/>
          <w:lang w:eastAsia="ru-RU"/>
        </w:rPr>
        <w:t xml:space="preserve">484</w:t>
      </w:r>
      <w:r>
        <w:rPr>
          <w:rFonts w:ascii="Times New Roman" w:hAnsi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 новых и реконструированных энергоустановок.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2023 год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у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 поднадзорных объектах 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авари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(в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2022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),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 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объектах электроэнергетики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аварий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объектах теплоснабжения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аварий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2022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За отчётный период 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несчастных случа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ев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со смертельным исходом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 2022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из них: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объектах электроэнергетики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несчастных случаев со смертельным исходом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году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объектах теплоснабжения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несчастных случаев со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смертельным исходом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2022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37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</w:tc>
      </w:tr>
    </w:tbl>
    <w:p>
      <w:pPr>
        <w:ind w:firstLine="680"/>
        <w:jc w:val="both"/>
        <w:spacing w:after="0" w:line="276" w:lineRule="auto"/>
        <w:rPr>
          <w:rFonts w:ascii="Times New Roman" w:hAnsi="Times New Roman" w:eastAsia="Arial Unicode MS"/>
          <w:sz w:val="28"/>
          <w:szCs w:val="28"/>
          <w:lang w:eastAsia="ru-RU"/>
        </w:rPr>
      </w:pPr>
      <w:r>
        <w:rPr>
          <w:rFonts w:ascii="Times New Roman" w:hAnsi="Times New Roman" w:eastAsia="Arial Unicode MS"/>
          <w:sz w:val="28"/>
          <w:szCs w:val="28"/>
          <w:lang w:eastAsia="ru-RU"/>
        </w:rPr>
      </w:r>
      <w:r>
        <w:rPr>
          <w:rFonts w:ascii="Times New Roman" w:hAnsi="Times New Roman" w:eastAsia="Arial Unicode MS"/>
          <w:sz w:val="28"/>
          <w:szCs w:val="28"/>
          <w:lang w:eastAsia="ru-RU"/>
        </w:rPr>
      </w:r>
      <w:r>
        <w:rPr>
          <w:rFonts w:ascii="Times New Roman" w:hAnsi="Times New Roman" w:eastAsia="Arial Unicode MS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основными факторами риска причинения вреда (ущерба)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являются: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роизводственные дефекты оборудования, приводящие к механическим повреждениям и разрушениям оборудования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Отсутствует в ГОСТ 32144-2013 требований и токовой </w:t>
      </w:r>
      <w:r>
        <w:rPr>
          <w:rFonts w:ascii="Times New Roman" w:hAnsi="Times New Roman"/>
          <w:sz w:val="28"/>
          <w:szCs w:val="28"/>
          <w:lang w:eastAsia="ru-RU"/>
        </w:rPr>
        <w:t xml:space="preserve">несимметрии</w:t>
      </w:r>
      <w:r>
        <w:rPr>
          <w:rFonts w:ascii="Times New Roman" w:hAnsi="Times New Roman"/>
          <w:sz w:val="28"/>
          <w:szCs w:val="28"/>
          <w:lang w:eastAsia="ru-RU"/>
        </w:rPr>
        <w:t xml:space="preserve">, указаны только требования о </w:t>
      </w:r>
      <w:r>
        <w:rPr>
          <w:rFonts w:ascii="Times New Roman" w:hAnsi="Times New Roman"/>
          <w:sz w:val="28"/>
          <w:szCs w:val="28"/>
          <w:lang w:eastAsia="ru-RU"/>
        </w:rPr>
        <w:t xml:space="preserve">несимметрии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напряжения.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едостаточная подготовленность персонала к выполнению приёмов, влияющих на безопасность работ;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еквалифицированные действия обслуживающего персонала;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</w:t>
      </w:r>
      <w:r>
        <w:rPr>
          <w:rFonts w:ascii="Times New Roman" w:hAnsi="Times New Roman"/>
          <w:sz w:val="28"/>
          <w:szCs w:val="28"/>
          <w:lang w:eastAsia="ru-RU"/>
        </w:rPr>
        <w:t xml:space="preserve">еисправность релейной защиты и автоматики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37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Забайкальским управлением  Ростехнадзора проведен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37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(в 2022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из них плановых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(в 2022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 внеплановых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(в 2022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2023 году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Забайкальским управлением  Ростехнадзора</w:t>
      </w:r>
      <w:r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 контрольных (надзорных) мероприят</w:t>
      </w:r>
      <w:r>
        <w:rPr>
          <w:rFonts w:ascii="Times New Roman" w:hAnsi="Times New Roman"/>
          <w:sz w:val="28"/>
          <w:szCs w:val="28"/>
          <w:lang w:eastAsia="ru-RU"/>
        </w:rPr>
        <w:t xml:space="preserve">ий по контролю организации безопасной эксплуатации и безопасного состояния оборудования и основных сооружений электростанций, электрических сетей электросетевых организаций и тепловых сетей энергоснабжающих организаций, электроустановок потребителей (в 202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permEnd w:displacedbyCustomXml="next" w:id=""/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tbl>
      <w:tblPr>
        <w:tblStyle w:val="1_63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  <w:t xml:space="preserve">В 2022 году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  <w:t xml:space="preserve"> проверки были по выполнению ранее выданного предписания</w:t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ходе проведения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выявлено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2632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правонарушени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е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обязательных требований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По результатам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назначено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val="en-US" w:eastAsia="ru-RU" w:bidi="ru-RU"/>
        </w:rPr>
        <w:t xml:space="preserve">28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административн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ых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наказани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раз, временный запрет деятельности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раз.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энергетического надзора наложен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74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административны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х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штраф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val="en-US" w:eastAsia="ru-RU" w:bidi="ru-RU"/>
        </w:rPr>
        <w:t xml:space="preserve">650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 тыс. рублей.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tbl>
      <w:tblPr>
        <w:tblStyle w:val="1_639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Забайкальского управления  Ростехнадзора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и его должностных лиц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»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в 2023 году соблюдены.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tbl>
      <w:tblPr>
        <w:tblStyle w:val="1_640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К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тип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ичн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ым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в рамках федерального государственного энергетического надзора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следует отнести: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/>
          <w:sz w:val="28"/>
          <w:szCs w:val="28"/>
          <w:lang w:eastAsia="ru-RU"/>
        </w:rPr>
        <w:t xml:space="preserve">При проверке сетевой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организации,  основными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типовыми и массовыми нарушениями обязательных требований остаются: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нарушение графиков расчистки просек;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ненадлежащее состояние электросетевого хозяйства (загнивание опор, провис проводов).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проверке объектов теплоснабжения: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наличие фактов эксплуатации теплоэнергетического оборудования сверх ресурса без проведения соответствующих организационно-технических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продлению срока его эксплуатации;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проводятся испытания тепловых сетей на максимальную температуру теплоносителя, на определение тепловых и гидравлических потерь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периодичностью 1 раз в 5 лет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проводится техническое освидетельствование зданий, сооружений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оборудования;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проводятся плановые ремонты и испытания 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установленные техническими нормами сроки;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проводятся испытания тепловых сетей на максимальную температуру теплоносителя, на определение тепловых и гидравлических потерь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периодичностью 1 раз в 5 лет;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невыполнение планового графика ремонта тепловых сетей и источников тепловой энергии;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целостности изоляции оборудования ТЭС, теплогенерирующих установок, тепловых сетей;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проводятся инструментально-визуальные наружные и внутренние обследования металлической дымовой трубы с привлечением специализированной организации;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соблюдаются сроки или не проводятся проверки знаний персонала, при</w:t>
      </w:r>
      <w:r>
        <w:rPr>
          <w:rFonts w:ascii="Times New Roman" w:hAnsi="Times New Roman"/>
          <w:sz w:val="28"/>
          <w:szCs w:val="28"/>
        </w:rPr>
        <w:t xml:space="preserve">нимающего непосредственное участие в эксплуатации тепловых энергоустановок,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энергоустановок, а также электротехнического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электротехнологического</w:t>
      </w:r>
      <w:r>
        <w:rPr>
          <w:rFonts w:ascii="Times New Roman" w:hAnsi="Times New Roman"/>
          <w:sz w:val="28"/>
          <w:szCs w:val="28"/>
        </w:rPr>
        <w:t xml:space="preserve"> персонала;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эксплуатация зданий и сооружений по истечении установленного срока эксплуатации без проведения своевременного технического освидетельствования, а также с дефектами строительных конструкций;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имеются нарушения объёма и норм испытаний электрооборудования;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осуществляется контроль за состоянием заземляющих устройств;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проводится измерение сопротивления заземляющих устройств, выборочная проверка состояния элементов заземлителей в земле, проверка коррозионного состояния заземлителей;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маслоприемники, маслосборники, гравийные подсыпки, дренажи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маслоотводы</w:t>
      </w:r>
      <w:r>
        <w:rPr>
          <w:rFonts w:ascii="Times New Roman" w:hAnsi="Times New Roman"/>
          <w:sz w:val="28"/>
          <w:szCs w:val="28"/>
        </w:rPr>
        <w:t xml:space="preserve"> не поддерживаются в исправном состоянии;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обеспечивается содержание воздушных линий электропередачи (далее – ВЛ) в исправном состоянии (недопустимое загнивание деревянных стоек опор ВЛ, недопустимый наклон опор, отсутствие необходимых надписей на опорах);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обеспечивается поддержание ширины просек ВЛ в размерах, предусмотренных нормативно-техническими документами, путём вырубки, обрезки крон деревьев (кустарников) и иными способами;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эксплуатации ВЛ надлежащим образом не производится техническое обслуживание и текущий ремонт, направленные на обеспечение их надёжной работы;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 полном объёме имеется техническая документация (отсутствуют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или не актуализируются электрические схемы, технические паспорта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энергооборудование, ВЛ и кабельные линии электропередачи, отсутствуют акты технического освидетельствования электрооборудования, протоколы измерений и т.д.);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допускаются течи масла на маслонаполненном оборудовании, металлические конструкции имеют следы коррозии металла</w:t>
      </w:r>
      <w:r>
        <w:rPr>
          <w:rFonts w:ascii="Times New Roman" w:hAnsi="Times New Roman"/>
          <w:sz w:val="28"/>
          <w:szCs w:val="28"/>
        </w:rPr>
        <w:t xml:space="preserve">/</w:t>
      </w:r>
      <w:permEnd w:displacedbyCustomXml="next" w:id="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4"/>
      </w:tblGrid>
      <w:tr>
        <w:tblPrEx/>
        <w:trPr/>
        <w:tc>
          <w:tcPr>
            <w:tcW w:w="9344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40" w:lineRule="auto"/>
        <w:tabs>
          <w:tab w:val="left" w:pos="851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202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году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рамках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прове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дения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оценк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готовности субъектов электроэнергетики к работе в осенне-зимний период 202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-202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годов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Забайкальское управление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Ростехнадзора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приня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ло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участие в работе комиссий, образованных органами местного самоуправления, по оценке готовности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176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теплоснабжающих </w:t>
      </w:r>
      <w:r>
        <w:rPr>
          <w:rFonts w:ascii="Times New Roman" w:hAnsi="Times New Roman" w:eastAsia="Times New Roman"/>
          <w:bCs/>
          <w:sz w:val="28"/>
          <w:szCs w:val="28"/>
          <w:lang w:eastAsia="ru-RU" w:bidi="ru-RU"/>
        </w:rPr>
        <w:t xml:space="preserve">и теплосетевых организаций к предстоящему отопительному периоду.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Было выявлено свыше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val="en-US" w:eastAsia="ru-RU" w:bidi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val="en-US" w:eastAsia="ru-RU" w:bidi="ru-RU"/>
        </w:rPr>
        <w:t xml:space="preserve">355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тыс. нарушений требований по готовности.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Основные выявленные нарушения: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Основные нарушения в рамках ОЗП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- эксплуатация оборудования сверх ресурса без проведения соответствующих технических мероприятий по продлению срока эксплуатации;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- не проведение ремонтов отопительных котлов, теплотрасс, зданий котельных;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- отсутствует контроль за поверкой и исправностью приборов измерения давления, температуры, расхода жидких и газообразных сред;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- не производится своевременное обучение лиц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ответственных за исправное состояние и безопасную эксплуатацию тепловых энергоустановок, кочегаров. Рабочие места машиниста котла не обеспечены инструкциями по эксплуатации водогрейных котлов, оперативными схемами источника теплоты, инструкциями по охране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труда.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ind w:firstLine="720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2023 году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Забайкальским управлением  Ростехнадзора</w:t>
      </w:r>
      <w:r/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 в рамках проведения оценки готовности субъектов электроэнергетики к работе в осенне-зимний период 2023-2024 годов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административная практика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не применялась. Участие в работе комиссий прежде всего направлено на повышение качества подготовки теплоснабжающих и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теплосетевых организаций к зиме.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энергетического надзора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Изданы: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___________________________.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41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  <w:t xml:space="preserve">Не проводилась</w:t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tabs>
          <w:tab w:val="left" w:pos="181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1816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энергетического надзора не выявлено.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42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эффективности программы профилактики в 2023 году </w:t>
      </w:r>
      <w:r>
        <w:rPr>
          <w:rFonts w:ascii="Times New Roman" w:hAnsi="Times New Roman" w:eastAsia="Times New Roman"/>
          <w:sz w:val="28"/>
          <w:szCs w:val="28"/>
          <w:lang w:eastAsia="ru-RU" w:bidi="ru-RU"/>
        </w:rPr>
        <w:t xml:space="preserve"> Забайкальским управлением  Ростехнадзора </w:t>
      </w:r>
      <w:r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 постоянной основе реализовывались следующие мероприятия: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отношении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юридическ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лиц, индивидуальн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предпринимател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эксплуатирующи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объекты электроэнергетики, объекты теплоснабжения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энергопринимающие установки,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было объявлено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предостережени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недопустимости нарушений обязательных требований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 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энергетическ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надзор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а, из них: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электроэнергетики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29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сфере теплоснабжения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/>
      <w:permStart w:displacedbyCustomXml="next" w:edGrp="everyone" w:id="undefined"/>
      <w:r>
        <w:rPr>
          <w:rFonts w:ascii="Times New Roman" w:hAnsi="Times New Roman"/>
          <w:sz w:val="28"/>
          <w:szCs w:val="28"/>
        </w:rPr>
        <w:t xml:space="preserve">Согласно утвержденного Забайкальским управлением Ростехнадзора плана-графика профилактических мероприятий на 2023 год </w:t>
      </w:r>
      <w:r>
        <w:rPr>
          <w:rFonts w:ascii="Times New Roman" w:hAnsi="Times New Roman"/>
          <w:sz w:val="28"/>
          <w:szCs w:val="28"/>
        </w:rPr>
        <w:t xml:space="preserve">проведено 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публичных слушания.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проведения профилактической работы по недопущению</w:t>
      </w:r>
      <w:r>
        <w:rPr>
          <w:rFonts w:ascii="Times New Roman" w:hAnsi="Times New Roman"/>
          <w:sz w:val="28"/>
          <w:szCs w:val="28"/>
        </w:rPr>
        <w:t xml:space="preserve"> несчастных случаев в поднадзорные организации, подконтрольных органам Ростехнадзора, ежемесячно направляется информация с анализом травматизма на энергоустановках, а также рекомендации по предотвращению несчастных случаев при эксплуатации энергоустановок.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Ростехнадзора в сети «Инт</w:t>
      </w:r>
      <w:r>
        <w:rPr>
          <w:rFonts w:ascii="Times New Roman" w:hAnsi="Times New Roman"/>
          <w:sz w:val="28"/>
          <w:szCs w:val="28"/>
        </w:rPr>
        <w:t xml:space="preserve">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энергетического надзора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нформирование юридических лиц, в том числе с использованием сайта Управления – </w:t>
      </w:r>
      <w:r>
        <w:rPr>
          <w:rFonts w:ascii="Times New Roman" w:hAnsi="Times New Roman"/>
          <w:sz w:val="28"/>
          <w:szCs w:val="28"/>
        </w:rPr>
        <w:t xml:space="preserve">4525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по вопросам, касающимся соблюдения требований безопасности при эксплуатации опасных объектов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445</w:t>
      </w:r>
      <w:bookmarkStart w:id="0" w:name="undefined"/>
      <w:r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43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lang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или электронном виде, тематика которых касалась: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вопросам ненадлежащего размещения опор и линий электропередач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ненадлежащем содержании при эксплуатации воздушной линии электропередач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неудовлетворительном состоянии опор электропередач;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неудовлетворительном состоянии котельных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 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нарушении температурного режима на котельных; О неисправности котельного оборудования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44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  <w:t xml:space="preserve">Всего поступило 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  <w:t xml:space="preserve">11 обращений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  <w:t xml:space="preserve"> граждан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  <w:t xml:space="preserve">, из 14 по теплоснабжению.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  <w:t xml:space="preserve">  </w:t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энергетического надзора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является: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низкий уровень исполнительско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контрольной (надзор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ной) деятельности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36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  <w:t xml:space="preserve">по соблюдению требований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энергетического надзора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/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доводить до работников материалы анализов несчастных случаев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br/>
        <w:t xml:space="preserve">на энергоустановках, подконтрольных органам Ростехнадзора, при проведении всех видов занятий и инструктажей по охране труда;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повысить уровень организации производства работ на электрических установках;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не допускать персонал, не прошедший проверку знаний, к работам в электроустановках;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усилить контроль за выполнением мероприятий, обеспечивающих безопасность работ;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>
        <w:rPr>
          <w:rFonts w:ascii="Times New Roman" w:hAnsi="Times New Roman"/>
          <w:sz w:val="28"/>
          <w:szCs w:val="28"/>
        </w:rPr>
        <w:t xml:space="preserve">в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едеральн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энергетического надзора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Style w:val="1_636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pPr>
            <w:r/>
            <w:permStart w:displacedbyCustomXml="next" w:edGrp="everyone" w:id="undefined"/>
            <w:r/>
            <w:permEnd w:displacedbyCustomXml="next" w:id=""/>
            <w:r/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1_635"/>
        <w:contextualSpacing/>
        <w:ind w:firstLine="709"/>
        <w:spacing w:line="276" w:lineRule="auto"/>
        <w:shd w:val="clear" w:color="auto" w:fil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contextualSpacing/>
        <w:jc w:val="center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table" w:styleId="1_637" w:customStyle="1">
    <w:name w:val="Сетка таблицы4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38" w:customStyle="1">
    <w:name w:val="Сетка таблицы5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39" w:customStyle="1">
    <w:name w:val="Сетка таблицы6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40" w:customStyle="1">
    <w:name w:val="Сетка таблицы7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41" w:customStyle="1">
    <w:name w:val="Сетка таблицы8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42" w:customStyle="1">
    <w:name w:val="Сетка таблицы9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43" w:customStyle="1">
    <w:name w:val="Сетка таблицы10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44" w:customStyle="1">
    <w:name w:val="Сетка таблицы11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36" w:customStyle="1">
    <w:name w:val="Сетка таблицы2"/>
    <w:basedOn w:val="684"/>
    <w:next w:val="692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_635" w:customStyle="1">
    <w:name w:val="Основной текст (2)"/>
    <w:basedOn w:val="678"/>
    <w:link w:val="709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KKrushelnickaya</cp:lastModifiedBy>
  <cp:revision>1</cp:revision>
  <dcterms:modified xsi:type="dcterms:W3CDTF">2025-03-13T01:50:37Z</dcterms:modified>
</cp:coreProperties>
</file>